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543F" w14:textId="77777777" w:rsidR="00727153" w:rsidRPr="00035278" w:rsidRDefault="00A23865" w:rsidP="00A23865">
      <w:pPr>
        <w:jc w:val="center"/>
        <w:rPr>
          <w:rFonts w:ascii="Arial" w:hAnsi="Arial" w:cs="Arial"/>
          <w:b/>
          <w:sz w:val="28"/>
          <w:szCs w:val="28"/>
        </w:rPr>
      </w:pPr>
      <w:r w:rsidRPr="00035278">
        <w:rPr>
          <w:rFonts w:ascii="Arial" w:hAnsi="Arial" w:cs="Arial"/>
          <w:b/>
          <w:sz w:val="28"/>
          <w:szCs w:val="28"/>
        </w:rPr>
        <w:t>FREQUENTLY ASKED QUESTIONS RE: EXCEL-BASED APPLICATION FORMS</w:t>
      </w:r>
    </w:p>
    <w:tbl>
      <w:tblPr>
        <w:tblStyle w:val="TableGrid"/>
        <w:tblpPr w:leftFromText="180" w:rightFromText="180" w:horzAnchor="margin" w:tblpY="2079"/>
        <w:tblW w:w="147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53"/>
        <w:gridCol w:w="7353"/>
      </w:tblGrid>
      <w:tr w:rsidR="00727153" w:rsidRPr="00E77FCC" w14:paraId="1DECD519" w14:textId="77777777" w:rsidTr="00C53399">
        <w:trPr>
          <w:trHeight w:val="324"/>
        </w:trPr>
        <w:tc>
          <w:tcPr>
            <w:tcW w:w="14706" w:type="dxa"/>
            <w:gridSpan w:val="2"/>
            <w:shd w:val="clear" w:color="auto" w:fill="D9D9D9" w:themeFill="background1" w:themeFillShade="D9"/>
            <w:noWrap/>
          </w:tcPr>
          <w:p w14:paraId="660DEE7E" w14:textId="77777777" w:rsidR="00727153" w:rsidRDefault="00727153" w:rsidP="00077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FREQUENTLY ASKED QUESTIONS RE: EXCEL-BASED APPLICATION FORMS</w:t>
            </w:r>
          </w:p>
          <w:p w14:paraId="3F83507C" w14:textId="77777777" w:rsidR="00F9649E" w:rsidRDefault="00F9649E" w:rsidP="00077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</w:p>
          <w:p w14:paraId="2BB3706D" w14:textId="77777777" w:rsidR="00F9649E" w:rsidRPr="00E77FCC" w:rsidRDefault="00F9649E" w:rsidP="00077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</w:p>
        </w:tc>
      </w:tr>
      <w:tr w:rsidR="00727153" w:rsidRPr="00E77FCC" w14:paraId="1C89DCCF" w14:textId="77777777" w:rsidTr="00C53399">
        <w:trPr>
          <w:trHeight w:val="324"/>
        </w:trPr>
        <w:tc>
          <w:tcPr>
            <w:tcW w:w="7353" w:type="dxa"/>
            <w:shd w:val="clear" w:color="auto" w:fill="D9D9D9" w:themeFill="background1" w:themeFillShade="D9"/>
            <w:noWrap/>
            <w:hideMark/>
          </w:tcPr>
          <w:p w14:paraId="21B7EF35" w14:textId="77777777" w:rsidR="00727153" w:rsidRPr="00E77FCC" w:rsidRDefault="00727153" w:rsidP="00077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Query</w:t>
            </w:r>
          </w:p>
        </w:tc>
        <w:tc>
          <w:tcPr>
            <w:tcW w:w="7353" w:type="dxa"/>
            <w:shd w:val="clear" w:color="auto" w:fill="D9D9D9" w:themeFill="background1" w:themeFillShade="D9"/>
            <w:noWrap/>
            <w:hideMark/>
          </w:tcPr>
          <w:p w14:paraId="286096E7" w14:textId="77777777" w:rsidR="00727153" w:rsidRPr="00E77FCC" w:rsidRDefault="00727153" w:rsidP="00077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Answer</w:t>
            </w:r>
          </w:p>
        </w:tc>
      </w:tr>
      <w:tr w:rsidR="00727153" w:rsidRPr="00E77FCC" w14:paraId="098044DF" w14:textId="77777777" w:rsidTr="00C53399">
        <w:trPr>
          <w:trHeight w:val="1009"/>
        </w:trPr>
        <w:tc>
          <w:tcPr>
            <w:tcW w:w="7353" w:type="dxa"/>
            <w:shd w:val="clear" w:color="auto" w:fill="D9D9D9" w:themeFill="background1" w:themeFillShade="D9"/>
          </w:tcPr>
          <w:p w14:paraId="6FE8B036" w14:textId="77777777" w:rsidR="00727153" w:rsidRPr="00A23865" w:rsidRDefault="00727153" w:rsidP="00A238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333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Why use the new excel-based application? 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4CBCFE9A" w14:textId="77777777" w:rsidR="00727153" w:rsidRPr="00A23865" w:rsidRDefault="00B7729D" w:rsidP="00A2386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The new excel based spreadsheet allow</w:t>
            </w:r>
            <w:r w:rsidR="000608A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ITAC to collect additional information on applicant’s demographic markers</w:t>
            </w:r>
            <w:r w:rsidR="002038D5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and firm-level data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which is required for ITAC’s reporting as set out in the 2023/24 Annual Performance Plan.</w:t>
            </w:r>
          </w:p>
        </w:tc>
      </w:tr>
      <w:tr w:rsidR="00CA36FD" w:rsidRPr="00E77FCC" w14:paraId="38C5B4C2" w14:textId="77777777" w:rsidTr="00C53399">
        <w:trPr>
          <w:trHeight w:val="1009"/>
        </w:trPr>
        <w:tc>
          <w:tcPr>
            <w:tcW w:w="7353" w:type="dxa"/>
            <w:shd w:val="clear" w:color="auto" w:fill="D9D9D9" w:themeFill="background1" w:themeFillShade="D9"/>
          </w:tcPr>
          <w:p w14:paraId="18DEDA35" w14:textId="5A68A8CE" w:rsidR="00CA36FD" w:rsidRPr="00A23865" w:rsidRDefault="000608A8" w:rsidP="006404F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Is the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excel-based application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form 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applicable to all ITAC </w:t>
            </w:r>
            <w:r w:rsidR="00483447">
              <w:t xml:space="preserve"> </w:t>
            </w:r>
            <w:r w:rsidR="00483447" w:rsidRPr="004834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rebate, drawback, import and export permits 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application form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3865E9C3" w14:textId="1FFD0C88" w:rsidR="00CA36FD" w:rsidRPr="00A23865" w:rsidRDefault="00A35FD1" w:rsidP="00A2386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Given the large number of applications for ITAC instruments, t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he 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new excel-based 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application forms will be introduced in phases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until </w:t>
            </w:r>
            <w:r w:rsidR="006404FC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all </w:t>
            </w:r>
            <w:r w:rsidR="006404FC" w:rsidRPr="006404F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rebate</w:t>
            </w:r>
            <w:r w:rsidR="00954DFC" w:rsidRPr="00954DF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, drawback, import and export permits 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application form</w:t>
            </w:r>
            <w:r w:rsidR="000608A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are </w:t>
            </w:r>
            <w:r w:rsidR="0087608B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avail</w:t>
            </w:r>
            <w:r w:rsidR="005A223F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able in the excel format. Therefore, the excel-based 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application forms will be applicable to all ITAC application forms</w:t>
            </w:r>
            <w:r w:rsidR="002D10D9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in the near future</w:t>
            </w:r>
            <w:r w:rsidR="00CA36F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  <w:r w:rsidR="005A223F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="00BF22A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Currently, the excel-based application, applies to rebate item </w:t>
            </w:r>
            <w:r w:rsidR="00BF22A6" w:rsidRPr="000F1A29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460.03 (</w:t>
            </w:r>
            <w:r w:rsidR="00E2618E" w:rsidRPr="000F1A29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the </w:t>
            </w:r>
            <w:r w:rsidR="00BF22A6" w:rsidRPr="000F1A29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AGOA rebate)</w:t>
            </w:r>
            <w:r w:rsidR="00BF22A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="002E3CB9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and </w:t>
            </w:r>
            <w:r w:rsidR="002E3CB9" w:rsidRPr="000F1A29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import</w:t>
            </w:r>
            <w:r w:rsidR="00E2618E" w:rsidRPr="000F1A29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 permits for commercial purposes and donations (‘IE461’)</w:t>
            </w:r>
            <w:r w:rsidR="002E3CB9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  <w:r w:rsidR="00CF291E" w:rsidRPr="00A238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91E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applicants would be notified </w:t>
            </w:r>
            <w:r w:rsidR="00CB68A6">
              <w:t xml:space="preserve"> </w:t>
            </w:r>
            <w:r w:rsidR="00CB68A6" w:rsidRPr="00CB68A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as and when the new excel-based applications for </w:t>
            </w:r>
            <w:r w:rsidR="00CB68A6" w:rsidRPr="00CB68A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other permit applications would apply to these processes and be available for completion</w:t>
            </w:r>
            <w:r w:rsidR="00CB68A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</w:tc>
      </w:tr>
      <w:tr w:rsidR="00FC68ED" w:rsidRPr="00E77FCC" w14:paraId="75538A16" w14:textId="77777777" w:rsidTr="00C53399">
        <w:trPr>
          <w:trHeight w:val="1009"/>
        </w:trPr>
        <w:tc>
          <w:tcPr>
            <w:tcW w:w="7353" w:type="dxa"/>
            <w:shd w:val="clear" w:color="auto" w:fill="D9D9D9" w:themeFill="background1" w:themeFillShade="D9"/>
          </w:tcPr>
          <w:p w14:paraId="13B444EE" w14:textId="77777777" w:rsidR="00FC68ED" w:rsidRPr="00A23865" w:rsidRDefault="00FC68ED" w:rsidP="00A238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333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What computer software/application will the applicant require to populate the excel form</w:t>
            </w:r>
            <w:r w:rsid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05C518C2" w14:textId="77777777" w:rsidR="00FC68ED" w:rsidRPr="00A23865" w:rsidRDefault="008F0F9F" w:rsidP="00A2386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Standard computer based Microsoft office </w:t>
            </w:r>
            <w:r w:rsidR="00113E5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software, with excel </w:t>
            </w:r>
            <w:r w:rsidR="008F08FE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spreadsheets 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application </w:t>
            </w:r>
            <w:r w:rsidR="00113E5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(i.e. MS excel).</w:t>
            </w:r>
            <w:r w:rsidR="00B7729D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Although other</w:t>
            </w:r>
            <w:r w:rsidR="00AB0030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excel-based application forms </w:t>
            </w:r>
            <w:r w:rsidR="00877D10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might be compatible with other </w:t>
            </w:r>
            <w:r w:rsidR="00FA0C25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spreadsheets </w:t>
            </w:r>
            <w:r w:rsidR="00877D10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applic</w:t>
            </w:r>
            <w:r w:rsidR="008F08FE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ations such as </w:t>
            </w:r>
            <w:r w:rsidR="00AB0030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google sheets, </w:t>
            </w:r>
            <w:r w:rsidR="00877D10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MS Excel is recommended.</w:t>
            </w:r>
          </w:p>
        </w:tc>
      </w:tr>
      <w:tr w:rsidR="00727153" w:rsidRPr="00E77FCC" w14:paraId="4B7398AE" w14:textId="77777777" w:rsidTr="00C53399">
        <w:trPr>
          <w:trHeight w:val="1009"/>
        </w:trPr>
        <w:tc>
          <w:tcPr>
            <w:tcW w:w="7353" w:type="dxa"/>
            <w:shd w:val="clear" w:color="auto" w:fill="D9D9D9" w:themeFill="background1" w:themeFillShade="D9"/>
            <w:hideMark/>
          </w:tcPr>
          <w:p w14:paraId="20E5765D" w14:textId="77777777" w:rsidR="00727153" w:rsidRPr="00A23865" w:rsidRDefault="00727153" w:rsidP="00A238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333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Are the new excel-based application forms different from the old pdf and word format forms? </w:t>
            </w:r>
          </w:p>
          <w:p w14:paraId="1DFA97BE" w14:textId="77777777" w:rsidR="00727153" w:rsidRPr="00A23865" w:rsidRDefault="00727153" w:rsidP="00A2386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7353" w:type="dxa"/>
            <w:shd w:val="clear" w:color="auto" w:fill="D9D9D9" w:themeFill="background1" w:themeFillShade="D9"/>
          </w:tcPr>
          <w:p w14:paraId="319C1237" w14:textId="77777777" w:rsidR="00727153" w:rsidRPr="00A23865" w:rsidRDefault="00DE4AB4" w:rsidP="00A2386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forms </w:t>
            </w:r>
            <w:r w:rsidR="0082319F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remain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="00442895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mostly</w:t>
            </w:r>
            <w:r w:rsidR="0082319F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the same with only additional fields for t</w:t>
            </w:r>
            <w:r w:rsidR="00484752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he requested demographic</w:t>
            </w:r>
            <w:r w:rsidR="0082319F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data on the excel-based application format.</w:t>
            </w:r>
          </w:p>
        </w:tc>
      </w:tr>
      <w:tr w:rsidR="005F6B2A" w:rsidRPr="00E77FCC" w14:paraId="0AB025FA" w14:textId="77777777" w:rsidTr="00C53399">
        <w:trPr>
          <w:trHeight w:val="1009"/>
        </w:trPr>
        <w:tc>
          <w:tcPr>
            <w:tcW w:w="7353" w:type="dxa"/>
            <w:shd w:val="clear" w:color="auto" w:fill="D9D9D9" w:themeFill="background1" w:themeFillShade="D9"/>
          </w:tcPr>
          <w:p w14:paraId="2CB516BD" w14:textId="77777777" w:rsidR="005F6B2A" w:rsidRPr="007376E0" w:rsidRDefault="005F6B2A" w:rsidP="005F6B2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2" w:hanging="46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7376E0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Is there any specific information or instructions to note in the new excel-based application forms?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3A362E19" w14:textId="77777777" w:rsidR="005F6B2A" w:rsidRPr="005F6B2A" w:rsidRDefault="005F6B2A" w:rsidP="005F6B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5F6B2A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Yes.</w:t>
            </w:r>
          </w:p>
          <w:p w14:paraId="4B933BF7" w14:textId="48A5C938" w:rsidR="005F6B2A" w:rsidRDefault="005F6B2A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43BE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Please note the instructions on the information page of each application form</w:t>
            </w:r>
            <w:r w:rsidR="00955D6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and specific instruction on each cell in the application form</w:t>
            </w:r>
            <w:r w:rsidRPr="00343BE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. </w:t>
            </w:r>
          </w:p>
          <w:p w14:paraId="6A704620" w14:textId="354B2F4A" w:rsidR="005F6B2A" w:rsidRDefault="005F6B2A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excel application forms have </w:t>
            </w:r>
            <w:r w:rsidRPr="00A31D13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pre-populated </w:t>
            </w:r>
            <w:r w:rsidR="00FC5848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data</w:t>
            </w:r>
            <w:r w:rsidRPr="00A31D13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 </w:t>
            </w:r>
            <w:r w:rsidR="00A31D13" w:rsidRPr="00A31D13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with drop-down lists </w:t>
            </w:r>
            <w:r w:rsidRPr="00A31D13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on specific cells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(i.e. SMME, Firm size, plant location </w:t>
            </w:r>
            <w:r w:rsidR="00E21E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etc.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). </w:t>
            </w:r>
          </w:p>
          <w:p w14:paraId="703F19D5" w14:textId="77777777" w:rsidR="005F6B2A" w:rsidRDefault="005F6B2A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There are cells with specific instruction</w:t>
            </w:r>
            <w:r w:rsidR="0061524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on how the data should be captured (i.e. date format etc.).</w:t>
            </w:r>
          </w:p>
          <w:p w14:paraId="3FCEE2E9" w14:textId="77777777" w:rsidR="00F67705" w:rsidRDefault="005F6B2A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There is a data collection sheet linked to the application form which automa</w:t>
            </w:r>
            <w:r w:rsidR="00602BD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tically record the data. </w:t>
            </w:r>
          </w:p>
          <w:p w14:paraId="7EE3D916" w14:textId="77777777" w:rsidR="0048212B" w:rsidRDefault="00F67705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Only make use of the excel applications available on the ITAC website. Do not recreate your own excel-application as this application has pre-popu</w:t>
            </w:r>
            <w:r w:rsidR="0048212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lated data and it is linked to the data collection sheet.</w:t>
            </w:r>
          </w:p>
          <w:p w14:paraId="060C1609" w14:textId="77777777" w:rsidR="005F6B2A" w:rsidRDefault="0048212B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In the Case of Import and Export forms, </w:t>
            </w:r>
            <w:r w:rsidR="003333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please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note the Annexure that accompanies the application</w:t>
            </w:r>
            <w:r w:rsidR="000608A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form</w:t>
            </w:r>
            <w:r w:rsidR="0028740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  <w:r w:rsidR="005F6B2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</w:p>
          <w:p w14:paraId="18B60042" w14:textId="77777777" w:rsidR="007376E0" w:rsidRDefault="003333BB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Do not add or delete </w:t>
            </w:r>
            <w:r w:rsidR="0095596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rows, columns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or cell</w:t>
            </w:r>
            <w:r w:rsidR="000608A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 This w</w:t>
            </w:r>
            <w:r w:rsidR="0095596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ill result in an error when extracting the data to the data collection sheet.</w:t>
            </w:r>
          </w:p>
          <w:p w14:paraId="1934A52B" w14:textId="1B253566" w:rsidR="003333BB" w:rsidRDefault="00586183" w:rsidP="005F6B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It is important to note all </w:t>
            </w:r>
            <w:r w:rsidR="007376E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instruction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 w:rsidR="007376E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on specific cells</w:t>
            </w:r>
            <w:r w:rsidR="0093680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(format and data validation rules etc)</w:t>
            </w:r>
            <w:r w:rsidR="007376E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="000608A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which </w:t>
            </w:r>
            <w:r w:rsidR="007376E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are </w:t>
            </w:r>
            <w:r w:rsidR="00F8394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reflected</w:t>
            </w:r>
            <w:r w:rsidR="0093680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in the respective cells within the application form.</w:t>
            </w:r>
            <w:r w:rsidR="0095596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</w:p>
          <w:p w14:paraId="13B11726" w14:textId="77777777" w:rsidR="000454F8" w:rsidRDefault="000454F8" w:rsidP="00454282">
            <w:pPr>
              <w:pStyle w:val="ListParagraph"/>
              <w:spacing w:line="360" w:lineRule="auto"/>
              <w:ind w:left="780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0BD1CCF2" w14:textId="4431A890" w:rsidR="005F6B2A" w:rsidRPr="00A23865" w:rsidRDefault="00454282" w:rsidP="003F08D4">
            <w:pPr>
              <w:pStyle w:val="ListParagraph"/>
              <w:spacing w:line="360" w:lineRule="auto"/>
              <w:ind w:left="44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45428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>NB: ONLY USE THE FORM DOWNLOADED FROM THE ITAC WEBSITE</w:t>
            </w:r>
            <w:r w:rsidR="000608A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 xml:space="preserve"> AT </w:t>
            </w:r>
            <w:hyperlink r:id="rId7" w:history="1">
              <w:r w:rsidR="000608A8" w:rsidRPr="006A33BD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eastAsia="en-ZA"/>
                </w:rPr>
                <w:t>WWW.ITAC.ORG.ZA</w:t>
              </w:r>
            </w:hyperlink>
            <w:r w:rsidR="000608A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 xml:space="preserve"> - </w:t>
            </w:r>
            <w:r w:rsidR="003F08D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>PLEASE</w:t>
            </w:r>
            <w:r w:rsidRPr="0045428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 xml:space="preserve"> DO NOT RECREATE YOUR OWN APPLICATION FORM AS IT WOULD AFFECT THE LINKS TO THE DATA COLLECTION SHEET</w:t>
            </w:r>
            <w:r w:rsidR="00A074D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>, RESULTING IN DATA EXTRACTION ERRORS.</w:t>
            </w:r>
          </w:p>
        </w:tc>
      </w:tr>
      <w:tr w:rsidR="00672AB7" w:rsidRPr="00E77FCC" w14:paraId="72AB46BF" w14:textId="77777777" w:rsidTr="00C53399">
        <w:trPr>
          <w:trHeight w:val="1009"/>
        </w:trPr>
        <w:tc>
          <w:tcPr>
            <w:tcW w:w="7353" w:type="dxa"/>
            <w:shd w:val="clear" w:color="auto" w:fill="D9D9D9" w:themeFill="background1" w:themeFillShade="D9"/>
          </w:tcPr>
          <w:p w14:paraId="580A5BC6" w14:textId="402FE317" w:rsidR="00672AB7" w:rsidRPr="00CE16F6" w:rsidRDefault="00672AB7" w:rsidP="005F6B2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2" w:hanging="462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E16F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Will my application be delayed if the form is not fully completed or if all information is not submitted?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206F8E1A" w14:textId="168EBBEF" w:rsidR="00672AB7" w:rsidRPr="00CE16F6" w:rsidRDefault="00672AB7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F08D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Yes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, incomple</w:t>
            </w:r>
            <w:r w:rsidR="000E58C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te application forms and information that have been omitted will result in delays. Such applications and information will </w:t>
            </w:r>
            <w:r w:rsidR="000E58C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result in enquiries/queries with the applicant until the information is provided.</w:t>
            </w:r>
          </w:p>
        </w:tc>
      </w:tr>
      <w:tr w:rsidR="005F6B2A" w:rsidRPr="00E77FCC" w14:paraId="781D6ED6" w14:textId="77777777" w:rsidTr="00C53399">
        <w:trPr>
          <w:trHeight w:val="1009"/>
        </w:trPr>
        <w:tc>
          <w:tcPr>
            <w:tcW w:w="7353" w:type="dxa"/>
            <w:shd w:val="clear" w:color="auto" w:fill="D9D9D9" w:themeFill="background1" w:themeFillShade="D9"/>
          </w:tcPr>
          <w:p w14:paraId="22AD94EE" w14:textId="17CD695D" w:rsidR="005F6B2A" w:rsidRPr="00A23865" w:rsidRDefault="005F6B2A" w:rsidP="000608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333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Does this excel-based application forms imply a change in regulation</w:t>
            </w:r>
            <w:r w:rsidR="009A49F2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s, guidelines and conditions pertaining to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the respective import, export and rebate permit</w:t>
            </w:r>
            <w:r w:rsidR="007D59FF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applications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? 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78372F45" w14:textId="3E4FCBEF" w:rsidR="005F6B2A" w:rsidRPr="00A23865" w:rsidRDefault="005F6B2A" w:rsidP="000608A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084723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No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, regulations, guidelines and conditions remain the same. Only the application form changed with the inclusion of additional demographic</w:t>
            </w:r>
            <w:r w:rsidRPr="00A2386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firm-level data categories/fields required by ITAC</w:t>
            </w:r>
          </w:p>
        </w:tc>
      </w:tr>
      <w:tr w:rsidR="005F6B2A" w:rsidRPr="00E77FCC" w14:paraId="45D73330" w14:textId="77777777" w:rsidTr="00C53399">
        <w:trPr>
          <w:trHeight w:val="760"/>
        </w:trPr>
        <w:tc>
          <w:tcPr>
            <w:tcW w:w="7353" w:type="dxa"/>
            <w:shd w:val="clear" w:color="auto" w:fill="D9D9D9" w:themeFill="background1" w:themeFillShade="D9"/>
            <w:hideMark/>
          </w:tcPr>
          <w:p w14:paraId="1C3202DA" w14:textId="77777777" w:rsidR="005F6B2A" w:rsidRPr="00A23865" w:rsidRDefault="005F6B2A" w:rsidP="005F6B2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333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What additional information is requested from </w:t>
            </w:r>
            <w:r w:rsidR="000608A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applicant  and why is it requested?</w:t>
            </w:r>
          </w:p>
        </w:tc>
        <w:tc>
          <w:tcPr>
            <w:tcW w:w="7353" w:type="dxa"/>
            <w:shd w:val="clear" w:color="auto" w:fill="D9D9D9" w:themeFill="background1" w:themeFillShade="D9"/>
            <w:hideMark/>
          </w:tcPr>
          <w:p w14:paraId="45A42974" w14:textId="3704D6D8" w:rsidR="005F6B2A" w:rsidRPr="00A23865" w:rsidRDefault="000608A8" w:rsidP="000608A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D</w:t>
            </w:r>
            <w:r w:rsidR="005F6B2A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emographic markers and firm-level data which is required for ITAC’s reporting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in order to enable ITAC to advi</w:t>
            </w:r>
            <w:r w:rsidR="00C5733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 the Executive in a manner that would add value to future decisions</w:t>
            </w:r>
            <w:r w:rsidR="005F6B2A"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</w:tc>
      </w:tr>
      <w:tr w:rsidR="00B25F63" w:rsidRPr="00E77FCC" w14:paraId="597619C6" w14:textId="77777777" w:rsidTr="00C53399">
        <w:trPr>
          <w:trHeight w:val="760"/>
        </w:trPr>
        <w:tc>
          <w:tcPr>
            <w:tcW w:w="7353" w:type="dxa"/>
            <w:shd w:val="clear" w:color="auto" w:fill="D9D9D9" w:themeFill="background1" w:themeFillShade="D9"/>
          </w:tcPr>
          <w:p w14:paraId="6BD38F6D" w14:textId="77777777" w:rsidR="00B25F63" w:rsidRPr="0056594B" w:rsidRDefault="00B25F63" w:rsidP="008F20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333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With regard to import and export applications, does</w:t>
            </w:r>
            <w:r w:rsidRPr="00B25F6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the detailed</w:t>
            </w:r>
            <w:r w:rsidR="001C296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excel-based application form (i.e.</w:t>
            </w:r>
            <w:r w:rsidRPr="00B25F6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IE461</w:t>
            </w:r>
            <w:r w:rsidR="000D7CC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) mean that </w:t>
            </w:r>
            <w:r w:rsidRPr="00B25F6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the</w:t>
            </w:r>
            <w:r w:rsidR="006C2F2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application to r</w:t>
            </w:r>
            <w:r w:rsidR="000D7CCA" w:rsidRPr="000D7CC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egister as an Importer</w:t>
            </w:r>
            <w:r w:rsidRPr="00B25F6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="006C2F2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(form </w:t>
            </w:r>
            <w:r w:rsidRPr="00B25F6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IE230</w:t>
            </w:r>
            <w:r w:rsidR="006C2F2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  <w:r w:rsidRPr="00B25F6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fall</w:t>
            </w:r>
            <w:r w:rsidR="000608A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 w:rsidRPr="00B25F6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away?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2E324461" w14:textId="77777777" w:rsidR="00B25F63" w:rsidRPr="00A23865" w:rsidRDefault="006C2F27" w:rsidP="0056594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No,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Pr="006C2F2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ab/>
            </w:r>
            <w:r w:rsidR="0056594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</w:t>
            </w:r>
            <w:r w:rsidRPr="006C2F2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he IE230 would still be applicable.</w:t>
            </w:r>
          </w:p>
        </w:tc>
      </w:tr>
      <w:tr w:rsidR="005F6B2A" w:rsidRPr="00E77FCC" w14:paraId="5A9B6B27" w14:textId="77777777" w:rsidTr="00C53399">
        <w:trPr>
          <w:trHeight w:val="956"/>
        </w:trPr>
        <w:tc>
          <w:tcPr>
            <w:tcW w:w="7353" w:type="dxa"/>
            <w:shd w:val="clear" w:color="auto" w:fill="D9D9D9" w:themeFill="background1" w:themeFillShade="D9"/>
            <w:hideMark/>
          </w:tcPr>
          <w:p w14:paraId="22C7A749" w14:textId="77777777" w:rsidR="005F6B2A" w:rsidRPr="00A23865" w:rsidRDefault="005F6B2A" w:rsidP="008F20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333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Will ITAC share the additional information? If yes, whom will the information be share</w:t>
            </w:r>
            <w:r w:rsidR="0061524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d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with.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606953A4" w14:textId="34E3BB46" w:rsidR="005F6B2A" w:rsidRPr="00C73B04" w:rsidRDefault="005F6B2A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73B0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Information will be treated as confidential, in line with the ITA Act, </w:t>
            </w:r>
            <w:r w:rsidR="000608A8" w:rsidRPr="00C73B0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</w:t>
            </w:r>
            <w:r w:rsidRPr="00C73B04">
              <w:rPr>
                <w:rFonts w:ascii="Arial" w:hAnsi="Arial" w:cs="Arial"/>
                <w:sz w:val="24"/>
                <w:szCs w:val="24"/>
              </w:rPr>
              <w:t>he</w:t>
            </w:r>
            <w:r w:rsidRPr="00C73B0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POPI Act and other relevant legislation. </w:t>
            </w:r>
            <w:r w:rsidR="006B05E3">
              <w:t xml:space="preserve"> </w:t>
            </w:r>
            <w:r w:rsidR="006B05E3" w:rsidRPr="006B05E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</w:t>
            </w:r>
            <w:r w:rsidR="006B05E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</w:t>
            </w:r>
            <w:r w:rsidR="006B05E3" w:rsidRPr="006B05E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nformation will be shared in anonymised and aggregated form with the Portfolio Committee on Trade, Industry and Competition for statutory reporting purposes</w:t>
            </w:r>
            <w:r w:rsidR="00CE7F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  <w:p w14:paraId="43BA964A" w14:textId="77777777" w:rsidR="00824EF0" w:rsidRPr="00C73B04" w:rsidRDefault="00824EF0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68247B4F" w14:textId="77777777" w:rsidR="00824EF0" w:rsidRPr="00C73B04" w:rsidRDefault="00824EF0" w:rsidP="00824EF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73B0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In terms of confidentiality of information, kindly refer to Part D, Section 36 of the ITA Act.</w:t>
            </w:r>
          </w:p>
        </w:tc>
      </w:tr>
      <w:tr w:rsidR="005F6B2A" w:rsidRPr="00E77FCC" w14:paraId="33CC78BA" w14:textId="77777777" w:rsidTr="00C53399">
        <w:trPr>
          <w:trHeight w:val="672"/>
        </w:trPr>
        <w:tc>
          <w:tcPr>
            <w:tcW w:w="7353" w:type="dxa"/>
            <w:shd w:val="clear" w:color="auto" w:fill="D9D9D9" w:themeFill="background1" w:themeFillShade="D9"/>
            <w:hideMark/>
          </w:tcPr>
          <w:p w14:paraId="176A8EC3" w14:textId="77777777" w:rsidR="005F6B2A" w:rsidRPr="00A23865" w:rsidRDefault="005F6B2A" w:rsidP="008F20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47" w:hanging="447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Are applicant</w:t>
            </w:r>
            <w:r w:rsidR="00F8394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allowed to populate the excel-form and convert</w:t>
            </w:r>
            <w:r w:rsidR="00F8394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it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into a pdf format (or scanned copy) and submit to ITAC.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6DF38F47" w14:textId="77777777" w:rsidR="005F6B2A" w:rsidRPr="00A23865" w:rsidRDefault="005F6B2A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No, the applications should be submitted electronically in the required excel application form format</w:t>
            </w:r>
            <w:r w:rsidR="00F8394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obtained from the ITAC website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. </w:t>
            </w:r>
          </w:p>
        </w:tc>
      </w:tr>
      <w:tr w:rsidR="005F6B2A" w:rsidRPr="00E77FCC" w14:paraId="51283E8E" w14:textId="77777777" w:rsidTr="00C53399">
        <w:trPr>
          <w:trHeight w:val="824"/>
        </w:trPr>
        <w:tc>
          <w:tcPr>
            <w:tcW w:w="7353" w:type="dxa"/>
            <w:shd w:val="clear" w:color="auto" w:fill="D9D9D9" w:themeFill="background1" w:themeFillShade="D9"/>
            <w:hideMark/>
          </w:tcPr>
          <w:p w14:paraId="46403AA2" w14:textId="77777777" w:rsidR="005F6B2A" w:rsidRPr="00A23865" w:rsidRDefault="005F6B2A" w:rsidP="008F20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47" w:hanging="447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Should the application be submitted in another  format, will ITAC process the application?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29162222" w14:textId="77777777" w:rsidR="005F6B2A" w:rsidRPr="00A23865" w:rsidRDefault="005F6B2A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The application will be referred back and the applicant will be required to submit the application is excel format as per the new application form format</w:t>
            </w:r>
            <w:r w:rsidR="00F8394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requirement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</w:tc>
      </w:tr>
      <w:tr w:rsidR="005F6B2A" w:rsidRPr="00E77FCC" w14:paraId="279EFBA8" w14:textId="77777777" w:rsidTr="00C53399">
        <w:trPr>
          <w:trHeight w:val="824"/>
        </w:trPr>
        <w:tc>
          <w:tcPr>
            <w:tcW w:w="7353" w:type="dxa"/>
            <w:shd w:val="clear" w:color="auto" w:fill="D9D9D9" w:themeFill="background1" w:themeFillShade="D9"/>
          </w:tcPr>
          <w:p w14:paraId="0FF49D03" w14:textId="77777777" w:rsidR="005F6B2A" w:rsidRPr="00C518BD" w:rsidRDefault="005F6B2A" w:rsidP="008F20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47" w:hanging="447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518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Are there going to be changes in the current application submission process?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3638443F" w14:textId="77777777" w:rsidR="005F6B2A" w:rsidRPr="00A23865" w:rsidRDefault="005F6B2A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No, applications will continue to be submit</w:t>
            </w:r>
            <w:r w:rsidR="00F8394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ted</w:t>
            </w:r>
            <w:r w:rsidRPr="00A23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electronically via email.</w:t>
            </w:r>
          </w:p>
        </w:tc>
      </w:tr>
      <w:tr w:rsidR="005F6B2A" w:rsidRPr="00E77FCC" w14:paraId="061C9C6D" w14:textId="77777777" w:rsidTr="00DB24D8">
        <w:trPr>
          <w:trHeight w:val="2497"/>
        </w:trPr>
        <w:tc>
          <w:tcPr>
            <w:tcW w:w="7353" w:type="dxa"/>
            <w:shd w:val="clear" w:color="auto" w:fill="D9D9D9" w:themeFill="background1" w:themeFillShade="D9"/>
          </w:tcPr>
          <w:p w14:paraId="19291C8C" w14:textId="77777777" w:rsidR="005F6B2A" w:rsidRPr="00A23865" w:rsidRDefault="005F6B2A" w:rsidP="008F20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47" w:hanging="447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Should I have further questions regarding the new excel-based forms, who should I contact?</w:t>
            </w:r>
          </w:p>
        </w:tc>
        <w:tc>
          <w:tcPr>
            <w:tcW w:w="7353" w:type="dxa"/>
            <w:shd w:val="clear" w:color="auto" w:fill="D9D9D9" w:themeFill="background1" w:themeFillShade="D9"/>
          </w:tcPr>
          <w:p w14:paraId="466711B3" w14:textId="2CCC6517" w:rsidR="009D4384" w:rsidRDefault="009D4384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For any queries relating to </w:t>
            </w:r>
            <w:r w:rsidR="00A93C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rebate item 460.03 (“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</w:t>
            </w:r>
            <w:r w:rsidR="0086488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AGOA</w:t>
            </w:r>
            <w:r w:rsidR="0045421F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rebate</w:t>
            </w:r>
            <w:r w:rsidR="00A93C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”)</w:t>
            </w:r>
            <w:r w:rsidR="0086488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excel form</w:t>
            </w:r>
            <w:r w:rsidR="005B2D2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please send your queries to</w:t>
            </w:r>
            <w:r w:rsidR="00644671">
              <w:t xml:space="preserve"> </w:t>
            </w:r>
            <w:hyperlink r:id="rId8" w:history="1">
              <w:r w:rsidR="00644671" w:rsidRPr="00644671">
                <w:rPr>
                  <w:rStyle w:val="Hyperlink"/>
                  <w:rFonts w:ascii="Arial" w:hAnsi="Arial" w:cs="Arial"/>
                  <w:sz w:val="24"/>
                  <w:szCs w:val="24"/>
                </w:rPr>
                <w:t>inforebate@itac.org.za</w:t>
              </w:r>
            </w:hyperlink>
            <w:r w:rsidR="0086488E" w:rsidRPr="0064467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  <w:r w:rsidR="0086488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Please start your subject line as follows: “AGOA”</w:t>
            </w:r>
            <w:r w:rsidR="00D22C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  <w:p w14:paraId="4C02FD69" w14:textId="229A9B20" w:rsidR="00D22CBB" w:rsidRDefault="00D22CBB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203DE1E2" w14:textId="442878E8" w:rsidR="00D22CBB" w:rsidRDefault="00D22CBB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D22C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For any q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ueries relating to the </w:t>
            </w:r>
            <w:r w:rsidRPr="00D22C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import permits</w:t>
            </w:r>
            <w:bookmarkStart w:id="0" w:name="_GoBack"/>
            <w:bookmarkEnd w:id="0"/>
            <w:r w:rsidRPr="00D22C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for commercial purposes and donations (‘IE461’)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Pr="00D22C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excel form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,</w:t>
            </w:r>
            <w:r w:rsidRPr="00D22C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please send your queries to </w:t>
            </w:r>
            <w:hyperlink r:id="rId9" w:history="1">
              <w:r w:rsidR="00E20C58" w:rsidRPr="00E20C58">
                <w:rPr>
                  <w:rStyle w:val="Hyperlink"/>
                  <w:rFonts w:ascii="Arial" w:hAnsi="Arial" w:cs="Arial"/>
                  <w:sz w:val="24"/>
                  <w:szCs w:val="24"/>
                </w:rPr>
                <w:t>infopermit@itac.org.za</w:t>
              </w:r>
            </w:hyperlink>
            <w:r w:rsidR="00E20C58" w:rsidRPr="00E20C58">
              <w:rPr>
                <w:rFonts w:ascii="Arial" w:hAnsi="Arial" w:cs="Arial"/>
                <w:sz w:val="24"/>
                <w:szCs w:val="24"/>
              </w:rPr>
              <w:t>.</w:t>
            </w:r>
            <w:r w:rsidR="00E20C58">
              <w:t xml:space="preserve"> </w:t>
            </w:r>
            <w:r w:rsidRPr="00D22CB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Please start you</w:t>
            </w:r>
            <w:r w:rsidR="00A93C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 subject line as follows: “I</w:t>
            </w:r>
            <w:r w:rsidR="005B2D2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mport permit for Commercial and Donations (“IE461”)</w:t>
            </w:r>
            <w:r w:rsidR="0045421F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”</w:t>
            </w:r>
          </w:p>
          <w:p w14:paraId="4DFBD929" w14:textId="42C5F833" w:rsidR="00644671" w:rsidRDefault="00644671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3FCFA07B" w14:textId="160BA233" w:rsidR="00644671" w:rsidRPr="00644671" w:rsidRDefault="00644671" w:rsidP="005F6B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</w:pPr>
            <w:r w:rsidRPr="0064467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>Note: T</w:t>
            </w:r>
            <w:r w:rsidRPr="0064467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>he use of an incorrect email address or the forwarding of the same e-mail multiple times to the above address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>es</w:t>
            </w:r>
            <w:r w:rsidRPr="0064467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 xml:space="preserve"> may delay the processing of an application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ZA"/>
              </w:rPr>
              <w:t>.</w:t>
            </w:r>
          </w:p>
          <w:p w14:paraId="7A73C5DA" w14:textId="77777777" w:rsidR="00D22CBB" w:rsidRDefault="00D22CBB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5938E965" w14:textId="33E5B63B" w:rsidR="005F6B2A" w:rsidRDefault="00A27856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Please note that only queries relating to the excel forms should be</w:t>
            </w:r>
            <w:r w:rsidR="00C524C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sent to the above email address. Queries relating to the processing and permit </w:t>
            </w:r>
            <w:r w:rsidR="0081781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requirements</w:t>
            </w:r>
            <w:r w:rsidR="00C524C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should be directed to t</w:t>
            </w:r>
            <w:r w:rsidR="005F6B2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he relevant ITAC officials within the respective divisions processing your application, </w:t>
            </w:r>
            <w:r w:rsidR="0013120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</w:t>
            </w:r>
            <w:r w:rsidR="005F6B2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i.e. Import Export control, Tariffs or Trade </w:t>
            </w:r>
            <w:r w:rsidR="0013120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</w:t>
            </w:r>
            <w:r w:rsidR="005F6B2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emedies). Kindly take note of the contact details of relevant division</w:t>
            </w:r>
            <w:r w:rsidR="00F8394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 which is</w:t>
            </w:r>
            <w:r w:rsidR="005F6B2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available on the ITAC website at: </w:t>
            </w:r>
            <w:hyperlink r:id="rId10" w:history="1">
              <w:r w:rsidR="005F6B2A" w:rsidRPr="00205B0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ZA"/>
                </w:rPr>
                <w:t>http://www.itac.org.za/pages/contact-us</w:t>
              </w:r>
            </w:hyperlink>
            <w:r w:rsidR="005F6B2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</w:p>
          <w:p w14:paraId="775EACEB" w14:textId="77777777" w:rsidR="005F6B2A" w:rsidRPr="00A23865" w:rsidRDefault="005F6B2A" w:rsidP="005F6B2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</w:tbl>
    <w:p w14:paraId="12A9A830" w14:textId="77777777" w:rsidR="00727153" w:rsidRDefault="00727153" w:rsidP="00DB24D8"/>
    <w:sectPr w:rsidR="00727153" w:rsidSect="00822BFB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B8A0" w16cex:dateUtc="2023-08-24T09:08:00Z"/>
  <w16cex:commentExtensible w16cex:durableId="2891B93B" w16cex:dateUtc="2023-08-24T09:10:00Z"/>
  <w16cex:commentExtensible w16cex:durableId="2891B978" w16cex:dateUtc="2023-08-24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3459C1" w16cid:durableId="2891B8A0"/>
  <w16cid:commentId w16cid:paraId="60955F55" w16cid:durableId="2891B93B"/>
  <w16cid:commentId w16cid:paraId="6D095760" w16cid:durableId="2891B876"/>
  <w16cid:commentId w16cid:paraId="208D649E" w16cid:durableId="2891B97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E37B" w14:textId="77777777" w:rsidR="009065C4" w:rsidRDefault="009065C4" w:rsidP="00727153">
      <w:pPr>
        <w:spacing w:after="0" w:line="240" w:lineRule="auto"/>
      </w:pPr>
      <w:r>
        <w:separator/>
      </w:r>
    </w:p>
  </w:endnote>
  <w:endnote w:type="continuationSeparator" w:id="0">
    <w:p w14:paraId="5B7C0C40" w14:textId="77777777" w:rsidR="009065C4" w:rsidRDefault="009065C4" w:rsidP="0072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497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C1D2F" w14:textId="1F0519B1" w:rsidR="00E21E26" w:rsidRDefault="00E21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C5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6D8A6D" w14:textId="77777777" w:rsidR="00E21E26" w:rsidRDefault="00E21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16A4C" w14:textId="77777777" w:rsidR="009065C4" w:rsidRDefault="009065C4" w:rsidP="00727153">
      <w:pPr>
        <w:spacing w:after="0" w:line="240" w:lineRule="auto"/>
      </w:pPr>
      <w:r>
        <w:separator/>
      </w:r>
    </w:p>
  </w:footnote>
  <w:footnote w:type="continuationSeparator" w:id="0">
    <w:p w14:paraId="2A6DCEC5" w14:textId="77777777" w:rsidR="009065C4" w:rsidRDefault="009065C4" w:rsidP="0072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DA3"/>
    <w:multiLevelType w:val="hybridMultilevel"/>
    <w:tmpl w:val="A978D660"/>
    <w:lvl w:ilvl="0" w:tplc="E74E4F0A">
      <w:start w:val="1"/>
      <w:numFmt w:val="lowerLetter"/>
      <w:lvlText w:val="%1."/>
      <w:lvlJc w:val="left"/>
      <w:pPr>
        <w:ind w:left="40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9" w:hanging="360"/>
      </w:pPr>
    </w:lvl>
    <w:lvl w:ilvl="2" w:tplc="1C09001B" w:tentative="1">
      <w:start w:val="1"/>
      <w:numFmt w:val="lowerRoman"/>
      <w:lvlText w:val="%3."/>
      <w:lvlJc w:val="right"/>
      <w:pPr>
        <w:ind w:left="1849" w:hanging="180"/>
      </w:pPr>
    </w:lvl>
    <w:lvl w:ilvl="3" w:tplc="1C09000F" w:tentative="1">
      <w:start w:val="1"/>
      <w:numFmt w:val="decimal"/>
      <w:lvlText w:val="%4."/>
      <w:lvlJc w:val="left"/>
      <w:pPr>
        <w:ind w:left="2569" w:hanging="360"/>
      </w:pPr>
    </w:lvl>
    <w:lvl w:ilvl="4" w:tplc="1C090019" w:tentative="1">
      <w:start w:val="1"/>
      <w:numFmt w:val="lowerLetter"/>
      <w:lvlText w:val="%5."/>
      <w:lvlJc w:val="left"/>
      <w:pPr>
        <w:ind w:left="3289" w:hanging="360"/>
      </w:pPr>
    </w:lvl>
    <w:lvl w:ilvl="5" w:tplc="1C09001B" w:tentative="1">
      <w:start w:val="1"/>
      <w:numFmt w:val="lowerRoman"/>
      <w:lvlText w:val="%6."/>
      <w:lvlJc w:val="right"/>
      <w:pPr>
        <w:ind w:left="4009" w:hanging="180"/>
      </w:pPr>
    </w:lvl>
    <w:lvl w:ilvl="6" w:tplc="1C09000F" w:tentative="1">
      <w:start w:val="1"/>
      <w:numFmt w:val="decimal"/>
      <w:lvlText w:val="%7."/>
      <w:lvlJc w:val="left"/>
      <w:pPr>
        <w:ind w:left="4729" w:hanging="360"/>
      </w:pPr>
    </w:lvl>
    <w:lvl w:ilvl="7" w:tplc="1C090019" w:tentative="1">
      <w:start w:val="1"/>
      <w:numFmt w:val="lowerLetter"/>
      <w:lvlText w:val="%8."/>
      <w:lvlJc w:val="left"/>
      <w:pPr>
        <w:ind w:left="5449" w:hanging="360"/>
      </w:pPr>
    </w:lvl>
    <w:lvl w:ilvl="8" w:tplc="1C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3BB43283"/>
    <w:multiLevelType w:val="hybridMultilevel"/>
    <w:tmpl w:val="E0B050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1668E"/>
    <w:multiLevelType w:val="hybridMultilevel"/>
    <w:tmpl w:val="1FE0572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D11B5F"/>
    <w:multiLevelType w:val="hybridMultilevel"/>
    <w:tmpl w:val="0906A8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CC"/>
    <w:rsid w:val="00024C59"/>
    <w:rsid w:val="00035278"/>
    <w:rsid w:val="000454F8"/>
    <w:rsid w:val="000608A8"/>
    <w:rsid w:val="00084723"/>
    <w:rsid w:val="000D7CCA"/>
    <w:rsid w:val="000E03B0"/>
    <w:rsid w:val="000E58CC"/>
    <w:rsid w:val="000F0080"/>
    <w:rsid w:val="000F1A29"/>
    <w:rsid w:val="00105E1F"/>
    <w:rsid w:val="00113E5D"/>
    <w:rsid w:val="00131206"/>
    <w:rsid w:val="00150C57"/>
    <w:rsid w:val="00163E71"/>
    <w:rsid w:val="001B48B7"/>
    <w:rsid w:val="001B784B"/>
    <w:rsid w:val="001C2964"/>
    <w:rsid w:val="001C6D44"/>
    <w:rsid w:val="002038D5"/>
    <w:rsid w:val="00240912"/>
    <w:rsid w:val="0024168F"/>
    <w:rsid w:val="00262221"/>
    <w:rsid w:val="00285BCC"/>
    <w:rsid w:val="0028740D"/>
    <w:rsid w:val="00287709"/>
    <w:rsid w:val="002A30A7"/>
    <w:rsid w:val="002A45CE"/>
    <w:rsid w:val="002B3E47"/>
    <w:rsid w:val="002D10D9"/>
    <w:rsid w:val="002E3CB9"/>
    <w:rsid w:val="00302DC9"/>
    <w:rsid w:val="00307383"/>
    <w:rsid w:val="00311D0B"/>
    <w:rsid w:val="00314EE6"/>
    <w:rsid w:val="00317DFF"/>
    <w:rsid w:val="003333BB"/>
    <w:rsid w:val="0033566C"/>
    <w:rsid w:val="00343BE7"/>
    <w:rsid w:val="00344419"/>
    <w:rsid w:val="003600DA"/>
    <w:rsid w:val="00375E11"/>
    <w:rsid w:val="003969BD"/>
    <w:rsid w:val="003A2792"/>
    <w:rsid w:val="003C0CC0"/>
    <w:rsid w:val="003C3051"/>
    <w:rsid w:val="003E497E"/>
    <w:rsid w:val="003F08D4"/>
    <w:rsid w:val="00432FE1"/>
    <w:rsid w:val="00442895"/>
    <w:rsid w:val="00444529"/>
    <w:rsid w:val="0045421F"/>
    <w:rsid w:val="00454282"/>
    <w:rsid w:val="0046745D"/>
    <w:rsid w:val="0048212B"/>
    <w:rsid w:val="00482B26"/>
    <w:rsid w:val="00483447"/>
    <w:rsid w:val="00484752"/>
    <w:rsid w:val="004A1DDC"/>
    <w:rsid w:val="004E1B86"/>
    <w:rsid w:val="004E3F5B"/>
    <w:rsid w:val="00517F10"/>
    <w:rsid w:val="005472F6"/>
    <w:rsid w:val="005523D5"/>
    <w:rsid w:val="00552D44"/>
    <w:rsid w:val="00555968"/>
    <w:rsid w:val="00560979"/>
    <w:rsid w:val="00563475"/>
    <w:rsid w:val="0056594B"/>
    <w:rsid w:val="00584A47"/>
    <w:rsid w:val="00586183"/>
    <w:rsid w:val="005917B4"/>
    <w:rsid w:val="005A223F"/>
    <w:rsid w:val="005B25E2"/>
    <w:rsid w:val="005B2D2D"/>
    <w:rsid w:val="005F6B2A"/>
    <w:rsid w:val="00602BDE"/>
    <w:rsid w:val="00615248"/>
    <w:rsid w:val="00632F1D"/>
    <w:rsid w:val="00634F3D"/>
    <w:rsid w:val="006404FC"/>
    <w:rsid w:val="00644671"/>
    <w:rsid w:val="00652A73"/>
    <w:rsid w:val="00672AB7"/>
    <w:rsid w:val="006740D2"/>
    <w:rsid w:val="00686DA6"/>
    <w:rsid w:val="006B05E3"/>
    <w:rsid w:val="006C2F27"/>
    <w:rsid w:val="0070289E"/>
    <w:rsid w:val="00703578"/>
    <w:rsid w:val="00704934"/>
    <w:rsid w:val="00712AD1"/>
    <w:rsid w:val="00727153"/>
    <w:rsid w:val="007376E0"/>
    <w:rsid w:val="00744386"/>
    <w:rsid w:val="00756B39"/>
    <w:rsid w:val="00764366"/>
    <w:rsid w:val="00766A28"/>
    <w:rsid w:val="007710C5"/>
    <w:rsid w:val="00776D03"/>
    <w:rsid w:val="007A4488"/>
    <w:rsid w:val="007A5FE2"/>
    <w:rsid w:val="007B0A7B"/>
    <w:rsid w:val="007C6006"/>
    <w:rsid w:val="007D59FF"/>
    <w:rsid w:val="007F10E1"/>
    <w:rsid w:val="00801567"/>
    <w:rsid w:val="0081781D"/>
    <w:rsid w:val="00822BFB"/>
    <w:rsid w:val="0082319F"/>
    <w:rsid w:val="00824EF0"/>
    <w:rsid w:val="008372E2"/>
    <w:rsid w:val="00846093"/>
    <w:rsid w:val="00855586"/>
    <w:rsid w:val="0085589A"/>
    <w:rsid w:val="0086137D"/>
    <w:rsid w:val="00862BFD"/>
    <w:rsid w:val="0086488E"/>
    <w:rsid w:val="0087608B"/>
    <w:rsid w:val="00877D10"/>
    <w:rsid w:val="0089591A"/>
    <w:rsid w:val="008A1681"/>
    <w:rsid w:val="008B601C"/>
    <w:rsid w:val="008B7EDD"/>
    <w:rsid w:val="008D345F"/>
    <w:rsid w:val="008E1666"/>
    <w:rsid w:val="008F08FE"/>
    <w:rsid w:val="008F0F9F"/>
    <w:rsid w:val="008F204E"/>
    <w:rsid w:val="008F68D5"/>
    <w:rsid w:val="009065C4"/>
    <w:rsid w:val="0093303D"/>
    <w:rsid w:val="00936807"/>
    <w:rsid w:val="00937B56"/>
    <w:rsid w:val="00941A1E"/>
    <w:rsid w:val="00954DFC"/>
    <w:rsid w:val="00955960"/>
    <w:rsid w:val="00955D61"/>
    <w:rsid w:val="009960DE"/>
    <w:rsid w:val="009A49F2"/>
    <w:rsid w:val="009D4384"/>
    <w:rsid w:val="009E727F"/>
    <w:rsid w:val="00A074DE"/>
    <w:rsid w:val="00A15DE9"/>
    <w:rsid w:val="00A23865"/>
    <w:rsid w:val="00A27856"/>
    <w:rsid w:val="00A31D13"/>
    <w:rsid w:val="00A35FD1"/>
    <w:rsid w:val="00A378B3"/>
    <w:rsid w:val="00A4396A"/>
    <w:rsid w:val="00A44CFF"/>
    <w:rsid w:val="00A52BDE"/>
    <w:rsid w:val="00A5749F"/>
    <w:rsid w:val="00A57CD5"/>
    <w:rsid w:val="00A878EF"/>
    <w:rsid w:val="00A93C98"/>
    <w:rsid w:val="00AA4BF9"/>
    <w:rsid w:val="00AB0030"/>
    <w:rsid w:val="00AB6FE9"/>
    <w:rsid w:val="00AC3224"/>
    <w:rsid w:val="00AC6592"/>
    <w:rsid w:val="00AF06C0"/>
    <w:rsid w:val="00AF47BC"/>
    <w:rsid w:val="00B028DD"/>
    <w:rsid w:val="00B2315A"/>
    <w:rsid w:val="00B25F63"/>
    <w:rsid w:val="00B7729D"/>
    <w:rsid w:val="00B83E4A"/>
    <w:rsid w:val="00BF22A6"/>
    <w:rsid w:val="00C24A85"/>
    <w:rsid w:val="00C26FCC"/>
    <w:rsid w:val="00C366D3"/>
    <w:rsid w:val="00C368D4"/>
    <w:rsid w:val="00C44590"/>
    <w:rsid w:val="00C518BD"/>
    <w:rsid w:val="00C524C5"/>
    <w:rsid w:val="00C53399"/>
    <w:rsid w:val="00C5733E"/>
    <w:rsid w:val="00C733AF"/>
    <w:rsid w:val="00C73B04"/>
    <w:rsid w:val="00C83AA8"/>
    <w:rsid w:val="00C91E96"/>
    <w:rsid w:val="00CA36FD"/>
    <w:rsid w:val="00CB3478"/>
    <w:rsid w:val="00CB57D1"/>
    <w:rsid w:val="00CB68A6"/>
    <w:rsid w:val="00CC29A5"/>
    <w:rsid w:val="00CD2F98"/>
    <w:rsid w:val="00CE16F6"/>
    <w:rsid w:val="00CE7FBB"/>
    <w:rsid w:val="00CF291E"/>
    <w:rsid w:val="00D17B93"/>
    <w:rsid w:val="00D22CBB"/>
    <w:rsid w:val="00D47761"/>
    <w:rsid w:val="00D549A9"/>
    <w:rsid w:val="00D65632"/>
    <w:rsid w:val="00D77DB6"/>
    <w:rsid w:val="00D85B88"/>
    <w:rsid w:val="00D92EA5"/>
    <w:rsid w:val="00DB24D8"/>
    <w:rsid w:val="00DB7B2F"/>
    <w:rsid w:val="00DE4AB4"/>
    <w:rsid w:val="00E20C58"/>
    <w:rsid w:val="00E21E26"/>
    <w:rsid w:val="00E260B0"/>
    <w:rsid w:val="00E2618E"/>
    <w:rsid w:val="00E35438"/>
    <w:rsid w:val="00E519D9"/>
    <w:rsid w:val="00E61876"/>
    <w:rsid w:val="00E7792D"/>
    <w:rsid w:val="00E77FCC"/>
    <w:rsid w:val="00EC2DC7"/>
    <w:rsid w:val="00F20AC5"/>
    <w:rsid w:val="00F67705"/>
    <w:rsid w:val="00F72780"/>
    <w:rsid w:val="00F83943"/>
    <w:rsid w:val="00F87F1B"/>
    <w:rsid w:val="00F9649E"/>
    <w:rsid w:val="00FA0C25"/>
    <w:rsid w:val="00FB54FB"/>
    <w:rsid w:val="00FC5848"/>
    <w:rsid w:val="00FC68ED"/>
    <w:rsid w:val="00FE0C14"/>
    <w:rsid w:val="00FF010A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FC9B1"/>
  <w15:docId w15:val="{BFF6555E-74A7-49B4-8EF1-FC86C61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4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0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7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53"/>
  </w:style>
  <w:style w:type="paragraph" w:styleId="Footer">
    <w:name w:val="footer"/>
    <w:basedOn w:val="Normal"/>
    <w:link w:val="FooterChar"/>
    <w:uiPriority w:val="99"/>
    <w:unhideWhenUsed/>
    <w:rsid w:val="00727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53"/>
  </w:style>
  <w:style w:type="table" w:styleId="TableGrid">
    <w:name w:val="Table Grid"/>
    <w:basedOn w:val="TableNormal"/>
    <w:uiPriority w:val="59"/>
    <w:rsid w:val="0031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ebate@itac.org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AC.ORG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itac.org.za/pages/contact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permit@itac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Oatlhotse Madito</dc:creator>
  <cp:lastModifiedBy>Christopher Sako</cp:lastModifiedBy>
  <cp:revision>5</cp:revision>
  <dcterms:created xsi:type="dcterms:W3CDTF">2023-08-30T05:56:00Z</dcterms:created>
  <dcterms:modified xsi:type="dcterms:W3CDTF">2023-08-30T06:16:00Z</dcterms:modified>
</cp:coreProperties>
</file>